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D" w:rsidRDefault="003C75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6873240" cy="9683822"/>
            <wp:effectExtent l="0" t="0" r="3810" b="0"/>
            <wp:docPr id="1" name="Рисунок 1" descr="C:\Users\Администратор\Desktop\Порядок учета 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рядок учета И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968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DD" w:rsidRPr="006B01B1" w:rsidRDefault="003815DD" w:rsidP="006B01B1">
      <w:pPr>
        <w:pStyle w:val="a4"/>
        <w:numPr>
          <w:ilvl w:val="1"/>
          <w:numId w:val="2"/>
        </w:numPr>
        <w:tabs>
          <w:tab w:val="left" w:pos="993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астоящий порядок регламентирует процедуру учёта индив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идуальных достижений (далее - ИД) 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договора о целевом обучении 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ля лиц, поступающих на </w:t>
      </w:r>
      <w:proofErr w:type="gramStart"/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обучение по программам</w:t>
      </w:r>
      <w:proofErr w:type="gramEnd"/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среднего профессионального образования на основании документо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в, подтверждающих 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B61E4" w:rsidRPr="006B01B1" w:rsidRDefault="00BB61E4" w:rsidP="006B01B1">
      <w:pPr>
        <w:pStyle w:val="a4"/>
        <w:numPr>
          <w:ilvl w:val="1"/>
          <w:numId w:val="2"/>
        </w:numPr>
        <w:tabs>
          <w:tab w:val="left" w:pos="993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учета индивидуальных достижений:</w:t>
      </w:r>
    </w:p>
    <w:p w:rsidR="000929A5" w:rsidRPr="006B01B1" w:rsidRDefault="00C111D2" w:rsidP="006B01B1">
      <w:pPr>
        <w:pStyle w:val="a4"/>
        <w:tabs>
          <w:tab w:val="left" w:pos="993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 </w:t>
      </w:r>
      <w:r w:rsidR="003815DD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ИД 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оцениваются в баллах в соответствии с перечнем показателей для поступающих на обучение </w:t>
      </w:r>
      <w:r w:rsidR="003815DD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по программам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среднего</w:t>
      </w:r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образования указанных в 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таблиц</w:t>
      </w:r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е I</w:t>
      </w:r>
      <w:r w:rsidR="006B01B1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(Приложение 1).</w:t>
      </w:r>
      <w:proofErr w:type="gramEnd"/>
    </w:p>
    <w:p w:rsidR="00BB61E4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.2 </w:t>
      </w:r>
      <w:r w:rsidR="00A64F42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Приемная комиссия колледжа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принима</w:t>
      </w:r>
      <w:r w:rsidR="00A64F42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ет к учету результаты ИД, полученные не ранее 2 лет до поступления в колледж (с учетом текущего года) в количестве </w:t>
      </w:r>
      <w:r w:rsidR="003815DD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не более одного документа</w:t>
      </w:r>
      <w:r w:rsidR="000765FF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B61E4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.3</w:t>
      </w:r>
      <w:proofErr w:type="gramStart"/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случае наличия результатов ИД, специалист приемной комиссии проверяет достоверность представленных сведений и оценивает результаты ИД</w:t>
      </w:r>
    </w:p>
    <w:p w:rsidR="00BB61E4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.4</w:t>
      </w:r>
      <w:proofErr w:type="gramStart"/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 проведении указанной проверки приемная комиссия вправе обратится и соответствующие </w:t>
      </w:r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государст</w:t>
      </w:r>
      <w:r w:rsidR="00E061B3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венные информационные системы, </w:t>
      </w:r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>государственные (муниципальные) органы и организации.</w:t>
      </w:r>
    </w:p>
    <w:p w:rsidR="00BB61E4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61E4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.5 </w:t>
      </w:r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Приемная комиссия вправе отказать </w:t>
      </w:r>
      <w:proofErr w:type="gramStart"/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>поступающему</w:t>
      </w:r>
      <w:proofErr w:type="gramEnd"/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 в рассмотрении результатов ИД в случае выявления факта несоответствия представленных поступающим сведений действительности и (или) истечения срока давности.</w:t>
      </w:r>
    </w:p>
    <w:p w:rsidR="00E061B3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after="580"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B61E4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.6 </w:t>
      </w:r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Документы, подтверждающие наличие ИД, вкладываются в личное дело </w:t>
      </w:r>
      <w:proofErr w:type="gramStart"/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>поступающего</w:t>
      </w:r>
      <w:proofErr w:type="gramEnd"/>
      <w:r w:rsidR="00E061B3" w:rsidRPr="006B01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B61E4" w:rsidRPr="006B01B1" w:rsidRDefault="00C05F75" w:rsidP="006B01B1">
      <w:pPr>
        <w:pStyle w:val="a4"/>
        <w:numPr>
          <w:ilvl w:val="1"/>
          <w:numId w:val="2"/>
        </w:numPr>
        <w:tabs>
          <w:tab w:val="left" w:pos="851"/>
          <w:tab w:val="left" w:pos="1134"/>
          <w:tab w:val="left" w:pos="1985"/>
        </w:tabs>
        <w:spacing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Порядок учета договора 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целево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обучени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BB61E4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line="276" w:lineRule="auto"/>
        <w:ind w:left="851" w:right="3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.1</w:t>
      </w:r>
      <w:proofErr w:type="gramStart"/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5F75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="00C05F75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случае наличия договора целевого обучения, специалист приемной комиссии проверяет достоверность представленных сведений.</w:t>
      </w:r>
    </w:p>
    <w:p w:rsidR="00BB61E4" w:rsidRPr="006B01B1" w:rsidRDefault="00C111D2" w:rsidP="006B01B1">
      <w:pPr>
        <w:pStyle w:val="a4"/>
        <w:tabs>
          <w:tab w:val="left" w:pos="851"/>
          <w:tab w:val="left" w:pos="1134"/>
          <w:tab w:val="left" w:pos="1985"/>
        </w:tabs>
        <w:spacing w:line="276" w:lineRule="auto"/>
        <w:ind w:left="851" w:right="33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.2</w:t>
      </w:r>
      <w:proofErr w:type="gramStart"/>
      <w:r w:rsidR="00BB61E4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05F75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="00C05F75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 проведении указанной проверки приемная комиссия вправе обратится и соответствующие </w:t>
      </w:r>
      <w:r w:rsidR="00C05F75" w:rsidRPr="006B01B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en-US"/>
        </w:rPr>
        <w:t>государст</w:t>
      </w:r>
      <w:r w:rsidR="00C05F75" w:rsidRPr="006B01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венные информационные системы, </w:t>
      </w:r>
      <w:r w:rsidR="00C05F75" w:rsidRPr="006B01B1">
        <w:rPr>
          <w:rFonts w:ascii="Times New Roman" w:hAnsi="Times New Roman" w:cs="Times New Roman"/>
          <w:color w:val="auto"/>
          <w:sz w:val="28"/>
          <w:szCs w:val="28"/>
        </w:rPr>
        <w:t>государственные (муниципальные) органы и организации.</w:t>
      </w:r>
    </w:p>
    <w:p w:rsidR="000929A5" w:rsidRPr="0031722D" w:rsidRDefault="00C111D2" w:rsidP="0031722D">
      <w:pPr>
        <w:pStyle w:val="a4"/>
        <w:tabs>
          <w:tab w:val="left" w:pos="851"/>
          <w:tab w:val="left" w:pos="1134"/>
          <w:tab w:val="left" w:pos="1985"/>
        </w:tabs>
        <w:spacing w:line="276" w:lineRule="auto"/>
        <w:ind w:left="851" w:right="33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01B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B61E4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.3 </w:t>
      </w:r>
      <w:r w:rsidR="00C05F75" w:rsidRPr="006B01B1">
        <w:rPr>
          <w:rFonts w:ascii="Times New Roman" w:hAnsi="Times New Roman" w:cs="Times New Roman"/>
          <w:color w:val="auto"/>
          <w:sz w:val="28"/>
          <w:szCs w:val="28"/>
        </w:rPr>
        <w:t xml:space="preserve">Договор о целевом обучении вкладываются в личное дело </w:t>
      </w:r>
      <w:proofErr w:type="gramStart"/>
      <w:r w:rsidR="00C05F75" w:rsidRPr="006B01B1">
        <w:rPr>
          <w:rFonts w:ascii="Times New Roman" w:hAnsi="Times New Roman" w:cs="Times New Roman"/>
          <w:color w:val="auto"/>
          <w:sz w:val="28"/>
          <w:szCs w:val="28"/>
        </w:rPr>
        <w:t>поступающего</w:t>
      </w:r>
      <w:proofErr w:type="gramEnd"/>
      <w:r w:rsidR="00C05F75" w:rsidRPr="006B01B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29A5" w:rsidRPr="006B01B1" w:rsidRDefault="000929A5" w:rsidP="006B01B1">
      <w:pPr>
        <w:pStyle w:val="a4"/>
        <w:tabs>
          <w:tab w:val="left" w:pos="851"/>
          <w:tab w:val="left" w:pos="1134"/>
          <w:tab w:val="left" w:pos="1985"/>
        </w:tabs>
        <w:spacing w:line="276" w:lineRule="auto"/>
        <w:ind w:left="851" w:right="334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445"/>
      <w:r w:rsidRPr="006B0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  <w:bookmarkEnd w:id="0"/>
    </w:p>
    <w:p w:rsidR="006B01B1" w:rsidRDefault="006B0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B01B1" w:rsidRPr="006B01B1" w:rsidRDefault="0031722D" w:rsidP="006B01B1">
      <w:pPr>
        <w:pStyle w:val="a4"/>
        <w:spacing w:line="276" w:lineRule="auto"/>
        <w:ind w:left="709" w:right="334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bookmarkStart w:id="1" w:name="_GoBack"/>
      <w:bookmarkEnd w:id="1"/>
    </w:p>
    <w:p w:rsidR="006B01B1" w:rsidRDefault="006B01B1" w:rsidP="006B01B1">
      <w:pPr>
        <w:spacing w:line="276" w:lineRule="auto"/>
        <w:ind w:left="284" w:right="33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1B1">
        <w:rPr>
          <w:rFonts w:ascii="Times New Roman" w:eastAsia="Times New Roman" w:hAnsi="Times New Roman" w:cs="Times New Roman"/>
          <w:sz w:val="28"/>
          <w:szCs w:val="28"/>
        </w:rPr>
        <w:t>Перечень индивидуальных достижений абитуриента при поступлении на программы среднего профессионального образования</w:t>
      </w:r>
    </w:p>
    <w:p w:rsidR="0024786C" w:rsidRPr="006B01B1" w:rsidRDefault="0024786C" w:rsidP="006B01B1">
      <w:pPr>
        <w:spacing w:line="276" w:lineRule="auto"/>
        <w:ind w:left="284" w:right="33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10189" w:type="dxa"/>
        <w:jc w:val="center"/>
        <w:tblInd w:w="-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"/>
        <w:gridCol w:w="7851"/>
        <w:gridCol w:w="1418"/>
      </w:tblGrid>
      <w:tr w:rsidR="006B01B1" w:rsidRPr="0024786C" w:rsidTr="0024786C">
        <w:trPr>
          <w:trHeight w:hRule="exact" w:val="657"/>
          <w:jc w:val="center"/>
        </w:trPr>
        <w:tc>
          <w:tcPr>
            <w:tcW w:w="920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индивидуальных достижений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6B01B1" w:rsidRPr="0024786C" w:rsidTr="0024786C">
        <w:trPr>
          <w:trHeight w:hRule="exact" w:val="3669"/>
          <w:jc w:val="center"/>
        </w:trPr>
        <w:tc>
          <w:tcPr>
            <w:tcW w:w="920" w:type="dxa"/>
            <w:vMerge w:val="restart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      </w:r>
            <w:hyperlink r:id="rId10" w:history="1">
              <w:r w:rsidRPr="0024786C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lang w:bidi="ar-SA"/>
                </w:rPr>
                <w:t>постановлением</w:t>
              </w:r>
            </w:hyperlink>
            <w:r w:rsidRPr="0024786C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ar-SA"/>
              </w:rPr>
              <w:t xml:space="preserve"> </w:t>
            </w:r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Правительства Российской Федерации от 17 ноября 2015 г</w:t>
            </w:r>
            <w:proofErr w:type="gram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. №1239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ind w:left="1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01B1" w:rsidRPr="0024786C" w:rsidTr="0024786C">
        <w:trPr>
          <w:trHeight w:hRule="exact" w:val="279"/>
          <w:jc w:val="center"/>
        </w:trPr>
        <w:tc>
          <w:tcPr>
            <w:tcW w:w="920" w:type="dxa"/>
            <w:vMerge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6B01B1" w:rsidRPr="0024786C" w:rsidTr="0024786C">
        <w:trPr>
          <w:trHeight w:hRule="exact" w:val="279"/>
          <w:jc w:val="center"/>
        </w:trPr>
        <w:tc>
          <w:tcPr>
            <w:tcW w:w="920" w:type="dxa"/>
            <w:vMerge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B01B1" w:rsidRPr="0024786C" w:rsidTr="0024786C">
        <w:trPr>
          <w:trHeight w:hRule="exact" w:val="279"/>
          <w:jc w:val="center"/>
        </w:trPr>
        <w:tc>
          <w:tcPr>
            <w:tcW w:w="920" w:type="dxa"/>
            <w:vMerge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6B01B1" w:rsidRPr="0024786C" w:rsidTr="0024786C">
        <w:trPr>
          <w:trHeight w:hRule="exact" w:val="1044"/>
          <w:jc w:val="center"/>
        </w:trPr>
        <w:tc>
          <w:tcPr>
            <w:tcW w:w="920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Абилимпикс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6B01B1" w:rsidRPr="0024786C" w:rsidTr="0024786C">
        <w:trPr>
          <w:trHeight w:hRule="exact" w:val="2082"/>
          <w:jc w:val="center"/>
        </w:trPr>
        <w:tc>
          <w:tcPr>
            <w:tcW w:w="920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(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Ворлдскиллс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Россия)", или международной организацией "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Ворлдскиллс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Интернешнл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WorldSkills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International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", или международной организацией "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Ворлдскиллс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Европа (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WorldSkills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Europe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6B01B1" w:rsidRPr="0024786C" w:rsidTr="0024786C">
        <w:trPr>
          <w:trHeight w:hRule="exact" w:val="1822"/>
          <w:jc w:val="center"/>
        </w:trPr>
        <w:tc>
          <w:tcPr>
            <w:tcW w:w="920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Наличие у поступающего статуса чемпиона или призера Олимпийских игр,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Паралимпийских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игр и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Сурдлимпийских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Паралимпийских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игр и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Сурдлимпийских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игр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6B01B1" w:rsidRPr="0024786C" w:rsidTr="0024786C">
        <w:trPr>
          <w:trHeight w:hRule="exact" w:val="1287"/>
          <w:jc w:val="center"/>
        </w:trPr>
        <w:tc>
          <w:tcPr>
            <w:tcW w:w="920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851" w:type="dxa"/>
            <w:shd w:val="clear" w:color="auto" w:fill="auto"/>
          </w:tcPr>
          <w:p w:rsidR="006B01B1" w:rsidRPr="0024786C" w:rsidRDefault="006B01B1" w:rsidP="000036F9">
            <w:pPr>
              <w:ind w:left="132" w:right="15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Паралимпийских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игр и </w:t>
            </w:r>
            <w:proofErr w:type="spellStart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>Сурдлимпийских</w:t>
            </w:r>
            <w:proofErr w:type="spellEnd"/>
            <w:r w:rsidRPr="0024786C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bidi="ar-SA"/>
              </w:rPr>
              <w:t xml:space="preserve"> игр</w:t>
            </w:r>
          </w:p>
        </w:tc>
        <w:tc>
          <w:tcPr>
            <w:tcW w:w="1418" w:type="dxa"/>
            <w:shd w:val="clear" w:color="auto" w:fill="auto"/>
          </w:tcPr>
          <w:p w:rsidR="006B01B1" w:rsidRPr="0024786C" w:rsidRDefault="006B01B1" w:rsidP="000036F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86C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</w:tbl>
    <w:p w:rsidR="006B01B1" w:rsidRDefault="006B01B1" w:rsidP="0024786C">
      <w:pPr>
        <w:pStyle w:val="1"/>
        <w:shd w:val="clear" w:color="auto" w:fill="auto"/>
        <w:tabs>
          <w:tab w:val="left" w:pos="854"/>
        </w:tabs>
        <w:spacing w:before="120" w:line="240" w:lineRule="auto"/>
        <w:ind w:left="567" w:firstLine="0"/>
        <w:jc w:val="both"/>
      </w:pPr>
      <w:r w:rsidRPr="00E061B3">
        <w:t xml:space="preserve">* ИД поступающих, не </w:t>
      </w:r>
      <w:proofErr w:type="gramStart"/>
      <w:r w:rsidRPr="00E061B3">
        <w:t>перечисленные</w:t>
      </w:r>
      <w:proofErr w:type="gramEnd"/>
      <w:r w:rsidRPr="00E061B3">
        <w:t xml:space="preserve"> в таблице прие</w:t>
      </w:r>
      <w:r>
        <w:t xml:space="preserve">мной комиссией к </w:t>
      </w:r>
      <w:r w:rsidRPr="00E061B3">
        <w:t>рассмотрению не принимаются.</w:t>
      </w:r>
    </w:p>
    <w:p w:rsidR="00E061B3" w:rsidRPr="000929A5" w:rsidRDefault="00E061B3" w:rsidP="000929A5">
      <w:pPr>
        <w:pStyle w:val="a4"/>
        <w:spacing w:line="276" w:lineRule="auto"/>
        <w:ind w:left="284" w:firstLine="425"/>
        <w:jc w:val="both"/>
        <w:rPr>
          <w:rFonts w:ascii="Times New Roman" w:hAnsi="Times New Roman" w:cs="Times New Roman"/>
        </w:rPr>
      </w:pPr>
    </w:p>
    <w:sectPr w:rsidR="00E061B3" w:rsidRPr="000929A5" w:rsidSect="006B01B1">
      <w:pgSz w:w="11907" w:h="16840" w:code="9"/>
      <w:pgMar w:top="851" w:right="550" w:bottom="992" w:left="533" w:header="879" w:footer="8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5DE" w:rsidRDefault="005C55DE">
      <w:r>
        <w:separator/>
      </w:r>
    </w:p>
  </w:endnote>
  <w:endnote w:type="continuationSeparator" w:id="0">
    <w:p w:rsidR="005C55DE" w:rsidRDefault="005C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5DE" w:rsidRDefault="005C55DE"/>
  </w:footnote>
  <w:footnote w:type="continuationSeparator" w:id="0">
    <w:p w:rsidR="005C55DE" w:rsidRDefault="005C55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93C"/>
    <w:multiLevelType w:val="multilevel"/>
    <w:tmpl w:val="C1F2D72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42ABB"/>
    <w:multiLevelType w:val="multilevel"/>
    <w:tmpl w:val="0262CE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8E1F02"/>
    <w:multiLevelType w:val="multilevel"/>
    <w:tmpl w:val="9B545E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598039E"/>
    <w:multiLevelType w:val="multilevel"/>
    <w:tmpl w:val="F62ED2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67362"/>
    <w:rsid w:val="000616BC"/>
    <w:rsid w:val="000765FF"/>
    <w:rsid w:val="000929A5"/>
    <w:rsid w:val="00100C40"/>
    <w:rsid w:val="00115BFF"/>
    <w:rsid w:val="001677F1"/>
    <w:rsid w:val="0024150E"/>
    <w:rsid w:val="0024786C"/>
    <w:rsid w:val="0031722D"/>
    <w:rsid w:val="003401C4"/>
    <w:rsid w:val="003815DD"/>
    <w:rsid w:val="003C750D"/>
    <w:rsid w:val="003D4068"/>
    <w:rsid w:val="00525059"/>
    <w:rsid w:val="005C55DE"/>
    <w:rsid w:val="005F0B1B"/>
    <w:rsid w:val="006805BB"/>
    <w:rsid w:val="006B01B1"/>
    <w:rsid w:val="00755D4D"/>
    <w:rsid w:val="00767362"/>
    <w:rsid w:val="007E504C"/>
    <w:rsid w:val="00804587"/>
    <w:rsid w:val="00A52CBF"/>
    <w:rsid w:val="00A64F42"/>
    <w:rsid w:val="00A84485"/>
    <w:rsid w:val="00B3095A"/>
    <w:rsid w:val="00B9664E"/>
    <w:rsid w:val="00B96815"/>
    <w:rsid w:val="00BB61E4"/>
    <w:rsid w:val="00C05F75"/>
    <w:rsid w:val="00C111D2"/>
    <w:rsid w:val="00C55371"/>
    <w:rsid w:val="00CF0FBC"/>
    <w:rsid w:val="00D42A10"/>
    <w:rsid w:val="00E061B3"/>
    <w:rsid w:val="00EB4BC6"/>
    <w:rsid w:val="00ED34A9"/>
    <w:rsid w:val="00F34C7A"/>
    <w:rsid w:val="00FB6CCC"/>
    <w:rsid w:val="00F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41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15D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61E4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C7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418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15D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61E4"/>
    <w:rPr>
      <w:rFonts w:cs="Times New Roman"/>
      <w:b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C7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7125146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887D7-8AF4-4319-B8E4-FBBE97FF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2023-03-02T07:53:00Z</cp:lastPrinted>
  <dcterms:created xsi:type="dcterms:W3CDTF">2024-06-06T11:23:00Z</dcterms:created>
  <dcterms:modified xsi:type="dcterms:W3CDTF">2024-06-20T05:43:00Z</dcterms:modified>
</cp:coreProperties>
</file>